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8A7" w:rsidRDefault="005618A7" w:rsidP="005618A7">
      <w:pPr>
        <w:pStyle w:val="a3"/>
        <w:shd w:val="clear" w:color="auto" w:fill="FFFFFF"/>
        <w:spacing w:before="0" w:beforeAutospacing="0" w:after="200" w:afterAutospacing="0"/>
        <w:jc w:val="right"/>
        <w:rPr>
          <w:color w:val="212121"/>
          <w:sz w:val="21"/>
          <w:szCs w:val="21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>
        <w:rPr>
          <w:color w:val="212121"/>
        </w:rPr>
        <w:t xml:space="preserve">Приложение № </w:t>
      </w:r>
      <w:r w:rsidR="004A3EF9">
        <w:rPr>
          <w:color w:val="212121"/>
        </w:rPr>
        <w:t>9</w:t>
      </w:r>
    </w:p>
    <w:tbl>
      <w:tblPr>
        <w:tblpPr w:leftFromText="180" w:rightFromText="180" w:bottomFromText="200" w:vertAnchor="text" w:tblpY="1"/>
        <w:tblOverlap w:val="never"/>
        <w:tblW w:w="5160" w:type="dxa"/>
        <w:tblLook w:val="04A0"/>
      </w:tblPr>
      <w:tblGrid>
        <w:gridCol w:w="5160"/>
      </w:tblGrid>
      <w:tr w:rsidR="005618A7" w:rsidTr="005618A7">
        <w:trPr>
          <w:trHeight w:val="255"/>
        </w:trPr>
        <w:tc>
          <w:tcPr>
            <w:tcW w:w="5160" w:type="dxa"/>
            <w:noWrap/>
            <w:vAlign w:val="bottom"/>
            <w:hideMark/>
          </w:tcPr>
          <w:p w:rsidR="005618A7" w:rsidRDefault="005618A7">
            <w:pPr>
              <w:spacing w:after="0"/>
            </w:pPr>
          </w:p>
        </w:tc>
      </w:tr>
      <w:tr w:rsidR="005618A7" w:rsidTr="005618A7">
        <w:trPr>
          <w:trHeight w:val="255"/>
        </w:trPr>
        <w:tc>
          <w:tcPr>
            <w:tcW w:w="5160" w:type="dxa"/>
            <w:noWrap/>
            <w:vAlign w:val="bottom"/>
            <w:hideMark/>
          </w:tcPr>
          <w:p w:rsidR="005618A7" w:rsidRDefault="005618A7">
            <w:pPr>
              <w:spacing w:after="0"/>
            </w:pPr>
          </w:p>
        </w:tc>
      </w:tr>
      <w:tr w:rsidR="005618A7" w:rsidTr="005618A7">
        <w:trPr>
          <w:trHeight w:val="255"/>
        </w:trPr>
        <w:tc>
          <w:tcPr>
            <w:tcW w:w="5160" w:type="dxa"/>
            <w:noWrap/>
            <w:vAlign w:val="bottom"/>
            <w:hideMark/>
          </w:tcPr>
          <w:p w:rsidR="005618A7" w:rsidRDefault="005618A7">
            <w:pPr>
              <w:spacing w:after="0"/>
            </w:pPr>
          </w:p>
        </w:tc>
      </w:tr>
      <w:tr w:rsidR="005618A7" w:rsidTr="005618A7">
        <w:trPr>
          <w:trHeight w:val="255"/>
        </w:trPr>
        <w:tc>
          <w:tcPr>
            <w:tcW w:w="5160" w:type="dxa"/>
            <w:noWrap/>
            <w:vAlign w:val="bottom"/>
            <w:hideMark/>
          </w:tcPr>
          <w:p w:rsidR="005618A7" w:rsidRDefault="005618A7">
            <w:pPr>
              <w:spacing w:after="0"/>
            </w:pPr>
          </w:p>
        </w:tc>
      </w:tr>
      <w:tr w:rsidR="005618A7" w:rsidTr="005618A7">
        <w:trPr>
          <w:trHeight w:val="255"/>
        </w:trPr>
        <w:tc>
          <w:tcPr>
            <w:tcW w:w="5160" w:type="dxa"/>
            <w:noWrap/>
            <w:vAlign w:val="bottom"/>
            <w:hideMark/>
          </w:tcPr>
          <w:p w:rsidR="005618A7" w:rsidRDefault="005618A7">
            <w:pPr>
              <w:spacing w:after="0"/>
            </w:pPr>
          </w:p>
        </w:tc>
      </w:tr>
      <w:tr w:rsidR="005618A7" w:rsidTr="005618A7">
        <w:trPr>
          <w:trHeight w:val="255"/>
        </w:trPr>
        <w:tc>
          <w:tcPr>
            <w:tcW w:w="5160" w:type="dxa"/>
            <w:noWrap/>
            <w:vAlign w:val="bottom"/>
            <w:hideMark/>
          </w:tcPr>
          <w:p w:rsidR="005618A7" w:rsidRDefault="005618A7">
            <w:pPr>
              <w:spacing w:after="0"/>
            </w:pPr>
          </w:p>
        </w:tc>
      </w:tr>
    </w:tbl>
    <w:p w:rsidR="005618A7" w:rsidRDefault="005618A7" w:rsidP="005618A7">
      <w:pPr>
        <w:pStyle w:val="a3"/>
        <w:shd w:val="clear" w:color="auto" w:fill="FFFFFF"/>
        <w:spacing w:before="0" w:beforeAutospacing="0" w:after="0" w:afterAutospacing="0"/>
        <w:jc w:val="right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 xml:space="preserve">             к решению Совета  народных                                    депутатов Аннинского городского</w:t>
      </w:r>
    </w:p>
    <w:p w:rsidR="005618A7" w:rsidRDefault="005618A7" w:rsidP="005618A7">
      <w:pPr>
        <w:pStyle w:val="a3"/>
        <w:shd w:val="clear" w:color="auto" w:fill="FFFFFF"/>
        <w:spacing w:before="0" w:beforeAutospacing="0" w:after="0" w:afterAutospacing="0"/>
        <w:jc w:val="right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 xml:space="preserve">              поселения  Аннинского муниципального р</w:t>
      </w:r>
      <w:r w:rsidR="00B00498">
        <w:rPr>
          <w:color w:val="212121"/>
          <w:sz w:val="21"/>
          <w:szCs w:val="21"/>
        </w:rPr>
        <w:t xml:space="preserve">айона                        </w:t>
      </w:r>
      <w:r>
        <w:rPr>
          <w:color w:val="212121"/>
          <w:sz w:val="21"/>
          <w:szCs w:val="21"/>
        </w:rPr>
        <w:t xml:space="preserve">Воронежской  области </w:t>
      </w:r>
      <w:r w:rsidR="00B00498">
        <w:rPr>
          <w:color w:val="212121"/>
          <w:sz w:val="21"/>
          <w:szCs w:val="21"/>
        </w:rPr>
        <w:t xml:space="preserve">                                         </w:t>
      </w:r>
      <w:r w:rsidR="003F76A8">
        <w:rPr>
          <w:color w:val="212121"/>
          <w:sz w:val="21"/>
          <w:szCs w:val="21"/>
        </w:rPr>
        <w:t>от</w:t>
      </w:r>
      <w:r w:rsidR="00002964">
        <w:rPr>
          <w:color w:val="212121"/>
          <w:sz w:val="21"/>
          <w:szCs w:val="21"/>
        </w:rPr>
        <w:t xml:space="preserve"> 2</w:t>
      </w:r>
      <w:r w:rsidR="005F336D">
        <w:rPr>
          <w:color w:val="212121"/>
          <w:sz w:val="21"/>
          <w:szCs w:val="21"/>
        </w:rPr>
        <w:t>8</w:t>
      </w:r>
      <w:r w:rsidR="003F76A8">
        <w:rPr>
          <w:color w:val="212121"/>
          <w:sz w:val="21"/>
          <w:szCs w:val="21"/>
        </w:rPr>
        <w:t xml:space="preserve"> </w:t>
      </w:r>
      <w:r w:rsidR="004A3EF9">
        <w:rPr>
          <w:color w:val="212121"/>
          <w:sz w:val="21"/>
          <w:szCs w:val="21"/>
        </w:rPr>
        <w:t>.12.202</w:t>
      </w:r>
      <w:r w:rsidR="003F76A8">
        <w:rPr>
          <w:color w:val="212121"/>
          <w:sz w:val="21"/>
          <w:szCs w:val="21"/>
        </w:rPr>
        <w:t>2г. №</w:t>
      </w:r>
      <w:r>
        <w:rPr>
          <w:color w:val="212121"/>
          <w:sz w:val="21"/>
          <w:szCs w:val="21"/>
        </w:rPr>
        <w:t xml:space="preserve">  </w:t>
      </w:r>
      <w:r w:rsidR="00B00498">
        <w:rPr>
          <w:color w:val="212121"/>
          <w:sz w:val="21"/>
          <w:szCs w:val="21"/>
        </w:rPr>
        <w:t>232</w:t>
      </w:r>
    </w:p>
    <w:p w:rsidR="005618A7" w:rsidRDefault="005618A7" w:rsidP="005618A7">
      <w:pPr>
        <w:pStyle w:val="a3"/>
        <w:shd w:val="clear" w:color="auto" w:fill="FFFFFF"/>
        <w:spacing w:before="0" w:beforeAutospacing="0" w:after="0" w:afterAutospacing="0"/>
        <w:jc w:val="right"/>
        <w:rPr>
          <w:color w:val="212121"/>
          <w:sz w:val="21"/>
          <w:szCs w:val="21"/>
        </w:rPr>
      </w:pPr>
    </w:p>
    <w:p w:rsidR="005618A7" w:rsidRDefault="005618A7" w:rsidP="005618A7">
      <w:pPr>
        <w:pStyle w:val="a3"/>
        <w:shd w:val="clear" w:color="auto" w:fill="FFFFFF"/>
        <w:spacing w:before="0" w:beforeAutospacing="0" w:after="0" w:afterAutospacing="0"/>
        <w:jc w:val="right"/>
        <w:rPr>
          <w:color w:val="212121"/>
          <w:sz w:val="21"/>
          <w:szCs w:val="21"/>
        </w:rPr>
      </w:pPr>
    </w:p>
    <w:p w:rsidR="005618A7" w:rsidRDefault="005618A7" w:rsidP="005618A7">
      <w:pPr>
        <w:pStyle w:val="a3"/>
        <w:shd w:val="clear" w:color="auto" w:fill="FFFFFF"/>
        <w:spacing w:before="0" w:beforeAutospacing="0" w:after="0" w:afterAutospacing="0"/>
        <w:jc w:val="right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 xml:space="preserve">    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Методика расчета </w:t>
      </w:r>
      <w:r>
        <w:rPr>
          <w:rFonts w:ascii="Times New Roman" w:hAnsi="Times New Roman" w:cs="Times New Roman"/>
          <w:sz w:val="28"/>
          <w:szCs w:val="28"/>
        </w:rPr>
        <w:t xml:space="preserve">межбюджетных трансфертов, передаваемых бюджету муниципального района из бюджета </w:t>
      </w:r>
      <w:r w:rsidR="007C153B">
        <w:rPr>
          <w:rFonts w:ascii="Times New Roman" w:hAnsi="Times New Roman" w:cs="Times New Roman"/>
          <w:sz w:val="28"/>
          <w:szCs w:val="28"/>
        </w:rPr>
        <w:t xml:space="preserve">Аннинского </w:t>
      </w:r>
      <w:r>
        <w:rPr>
          <w:rFonts w:ascii="Times New Roman" w:hAnsi="Times New Roman" w:cs="Times New Roman"/>
          <w:sz w:val="28"/>
          <w:szCs w:val="28"/>
        </w:rPr>
        <w:t>городского поселения на осуществление части полномочий по решению вопросов местного значения в соответствии с заключенными соглашениями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 Методика регламентирует условия расчета и предоставления иных межбюджетных трансфертов бюджету Аннинского муниципального района Воронежской области.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Расчет размера иных межбюджетных трансфертов. 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2.1. Расчет иных межбюджетных трансфертов на выполнение переданных полномочий по содействию в развитии сельскохозяйственного производства, созданию условий для развития малого и среднего предпринимательства.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Размер иных межбюджетных трансфертов определяется по формуле: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пр. =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*N*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</w:t>
      </w:r>
      <w:proofErr w:type="spellEnd"/>
      <w:r>
        <w:rPr>
          <w:rFonts w:ascii="Times New Roman" w:hAnsi="Times New Roman" w:cs="Times New Roman"/>
          <w:sz w:val="28"/>
          <w:szCs w:val="28"/>
        </w:rPr>
        <w:t>. ; где: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С пр. – объем иных межбюджетных трансфертов на выполнение переданных полномочий по содействию в развитии сельскохозяйственного производства, созданию условий для развития малого и среднего предпринимательства; 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расходы, связанные с осуществлением полномочий по содействию в развитии сельскохозяйственного производства, созданию условий для развития малого и среднего предпринимательства. Расходы определяются исходя из следующих затрат: ФОТ (211+213 КОСГУ);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N – коэффициент численности постоянного населения поселения;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– корректирующий коэффициент.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  <w:sz w:val="26"/>
          <w:szCs w:val="26"/>
          <w:shd w:val="clear" w:color="auto" w:fill="FFFFFF"/>
        </w:rPr>
        <w:lastRenderedPageBreak/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расчете межбюджетных трансфертов сумма округляется до целого числа.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2.2. Расчет иных межбюджетных трансфертов на выполнение переданных полномочий  контрольно-счетного органа поселения по осуществлению внутреннего и  внешнего муниципального финансового контроля.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Размер иных межбюджетных трансфертов определяется по формуле: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контр. =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*N*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</w:t>
      </w:r>
      <w:proofErr w:type="spellEnd"/>
      <w:r>
        <w:rPr>
          <w:rFonts w:ascii="Times New Roman" w:hAnsi="Times New Roman" w:cs="Times New Roman"/>
          <w:sz w:val="28"/>
          <w:szCs w:val="28"/>
        </w:rPr>
        <w:t>. ; где: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С контр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бъем иных межбюджетных трансфертов на выполнение переданных полномочий контрольно-счетного органа поселения по осуществлению внутреннего и  внешнего муниципального финансового контроля; 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расходы, связанные с осуществлением полномочий контрольно-счетного органа поселения по осуществлению внутреннего и  внешнего муниципального финансового контроля. Расходы определяются исходя из следующих затрат: ФОТ (211+213 КОСГУ);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N –  коэффициент численности постоянного населения поселения;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– корректирующий коэффициент.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расчете межбюджетных трансфертов сумма округляется до целого числа.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2.3. Расчет иных межбюджетных трансфертов на выполнение переданных полномочий исполнения бюджета поселения в части размещения и предоставления информации "Электронный бюджет" на едином портале бюджетной системы Российской Федерации.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Размер иных межбюджетных трансфертов определяется по формуле: 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эл.б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=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*N*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; где: 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эл.б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объем иных межбюджетных трансфертов на выполнение переданных полномочий исполнения бюджета поселения в части размещения и предоставления информации "Электронный бюджет" на едином портале бюджетной системы Российской Федерации; 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расходы, связанные с осуществлением полномочий исполнения бюджета поселения в части размещения и предоставления информации "Электронный бюджет" на едином портале бюджетной системы Российской Федерации. Расходы определяются исходя из следующих затрат: ФОТ (211+213 КОСГУ);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N – коэффициент численности постоянного населения поселения;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– корректирующий коэффициент.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расчете межбюджетных трансфертов сумма округляется до целого числа.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2.4. Расчет иных межбюджетных трансфертов на выполнение переданных полномочий по предоставлению муниципальной услуги "Предоставление решения о согласовании архитектурно-градостроительного облика".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Размер иных межбюджетных трансфертов определяется по формуле: 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С гр.д. =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; где: 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- объем иных межбюджетных трансфертов на выполнение переданных полномочий по предоставлению муниципальной услуги "Предоставление решения о согласовании архитектурно-градостроительного облика"; 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расходы, связанные с осуществлением полномочий по предоставлению муниципальной услуги "Предоставление решения о согласовании архитектурно-градостроительного облика". 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Расходы определяются исходя из следующих затрат: - расходы на канцтовары. 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расчете межбюджетных трансфертов сумма округляется до целого числа.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2.5. Расчет иных межбюджетных трансфертов на выполнение переданных полномочий </w:t>
      </w:r>
      <w:r w:rsidR="00C82E41">
        <w:rPr>
          <w:rFonts w:ascii="Times New Roman" w:hAnsi="Times New Roman" w:cs="Times New Roman"/>
          <w:sz w:val="28"/>
          <w:szCs w:val="28"/>
        </w:rPr>
        <w:t>на мероприятия в области коммунального хозяйства.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Размер иных межбюджетных трансфертов определяется по формуле: 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С </w:t>
      </w:r>
      <w:r w:rsidR="00C82E41">
        <w:rPr>
          <w:rFonts w:ascii="Times New Roman" w:hAnsi="Times New Roman" w:cs="Times New Roman"/>
          <w:sz w:val="28"/>
          <w:szCs w:val="28"/>
        </w:rPr>
        <w:t>ком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82E41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="00C82E41">
        <w:rPr>
          <w:rFonts w:ascii="Times New Roman" w:hAnsi="Times New Roman" w:cs="Times New Roman"/>
          <w:sz w:val="28"/>
          <w:szCs w:val="28"/>
        </w:rPr>
        <w:t>оз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= </w:t>
      </w:r>
      <w:proofErr w:type="gramStart"/>
      <w:r w:rsidRPr="00516F91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; где: 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С </w:t>
      </w:r>
      <w:r w:rsidR="00C82E41">
        <w:rPr>
          <w:rFonts w:ascii="Times New Roman" w:hAnsi="Times New Roman" w:cs="Times New Roman"/>
          <w:sz w:val="28"/>
          <w:szCs w:val="28"/>
        </w:rPr>
        <w:t>ком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82E41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="00C82E41">
        <w:rPr>
          <w:rFonts w:ascii="Times New Roman" w:hAnsi="Times New Roman" w:cs="Times New Roman"/>
          <w:sz w:val="28"/>
          <w:szCs w:val="28"/>
        </w:rPr>
        <w:t>оз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- объем иных межбюджетных трансфертов на выполнение переданных полномочий </w:t>
      </w:r>
      <w:r w:rsidR="00C82E41">
        <w:rPr>
          <w:rFonts w:ascii="Times New Roman" w:hAnsi="Times New Roman" w:cs="Times New Roman"/>
          <w:sz w:val="28"/>
          <w:szCs w:val="28"/>
        </w:rPr>
        <w:t>на мероприятия в области коммунального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16F91" w:rsidRDefault="005618A7" w:rsidP="00516F91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16F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proofErr w:type="gramStart"/>
      <w:r w:rsidRPr="00516F91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Pr="00516F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расходы, связанные с осуществлением полномочий</w:t>
      </w:r>
      <w:r w:rsidRPr="00C82E4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16F91">
        <w:rPr>
          <w:rFonts w:ascii="Times New Roman" w:hAnsi="Times New Roman" w:cs="Times New Roman"/>
          <w:sz w:val="28"/>
          <w:szCs w:val="28"/>
        </w:rPr>
        <w:t xml:space="preserve">на выполнение переданных полномочий на мероприятия в области коммунального хозяйства; </w:t>
      </w:r>
    </w:p>
    <w:p w:rsidR="005618A7" w:rsidRPr="00516F91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2E41">
        <w:rPr>
          <w:rFonts w:ascii="Times New Roman" w:hAnsi="Times New Roman" w:cs="Times New Roman"/>
          <w:color w:val="FF0000"/>
          <w:sz w:val="28"/>
          <w:szCs w:val="28"/>
        </w:rPr>
        <w:t xml:space="preserve">         </w:t>
      </w:r>
      <w:r w:rsidRPr="00516F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Расходы определяются исходя из </w:t>
      </w:r>
      <w:r w:rsidR="00516F91" w:rsidRPr="00516F91">
        <w:rPr>
          <w:rFonts w:ascii="Times New Roman" w:hAnsi="Times New Roman" w:cs="Times New Roman"/>
          <w:color w:val="000000" w:themeColor="text1"/>
          <w:sz w:val="28"/>
          <w:szCs w:val="28"/>
        </w:rPr>
        <w:t>следующих затрат: - объем расходов на содержание и обслуживание котельных.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При расчете межбюджетных трансфертов сумма округляется до целого числа.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270D" w:rsidRDefault="00D7270D"/>
    <w:sectPr w:rsidR="00D7270D" w:rsidSect="00572C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618A7"/>
    <w:rsid w:val="00002964"/>
    <w:rsid w:val="000E6F24"/>
    <w:rsid w:val="001204FD"/>
    <w:rsid w:val="003F76A8"/>
    <w:rsid w:val="004A3EF9"/>
    <w:rsid w:val="004D4AE9"/>
    <w:rsid w:val="00516F91"/>
    <w:rsid w:val="005618A7"/>
    <w:rsid w:val="00572C54"/>
    <w:rsid w:val="005F336D"/>
    <w:rsid w:val="007C153B"/>
    <w:rsid w:val="00B00498"/>
    <w:rsid w:val="00B118CD"/>
    <w:rsid w:val="00C82E41"/>
    <w:rsid w:val="00CC18B1"/>
    <w:rsid w:val="00D7270D"/>
    <w:rsid w:val="00DF5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C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618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semiHidden/>
    <w:rsid w:val="005618A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0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826</Words>
  <Characters>4712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DOHOD2</cp:lastModifiedBy>
  <cp:revision>10</cp:revision>
  <dcterms:created xsi:type="dcterms:W3CDTF">2021-12-22T04:09:00Z</dcterms:created>
  <dcterms:modified xsi:type="dcterms:W3CDTF">2023-03-01T09:04:00Z</dcterms:modified>
</cp:coreProperties>
</file>